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0F78" w14:textId="073CD9F1" w:rsidR="00AC2C75" w:rsidRPr="001D666D" w:rsidRDefault="00AC2C75" w:rsidP="001D666D">
      <w:pPr>
        <w:spacing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1D666D">
        <w:rPr>
          <w:rFonts w:ascii="Calibri Light" w:hAnsi="Calibri Light" w:cs="Calibri Light"/>
          <w:b/>
          <w:sz w:val="28"/>
          <w:szCs w:val="28"/>
        </w:rPr>
        <w:t>Letno poročilo 2022 o izvajanju in izvrševanju trgovinskih sporazumov EU</w:t>
      </w:r>
    </w:p>
    <w:p w14:paraId="44819924" w14:textId="77777777" w:rsidR="001D666D" w:rsidRPr="001D666D" w:rsidRDefault="001D666D" w:rsidP="001D666D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A01F8B" w14:textId="77777777" w:rsidR="001D666D" w:rsidRPr="001D666D" w:rsidRDefault="001D666D" w:rsidP="001D666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9E03ACD" w14:textId="20149D22" w:rsidR="00694B46" w:rsidRPr="001D666D" w:rsidRDefault="00AC2C75" w:rsidP="001D666D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666D">
        <w:rPr>
          <w:rFonts w:ascii="Calibri Light" w:hAnsi="Calibri Light" w:cs="Calibri Light"/>
          <w:sz w:val="24"/>
          <w:szCs w:val="24"/>
        </w:rPr>
        <w:t xml:space="preserve">Evropska komisija je izdala drugo </w:t>
      </w:r>
      <w:r w:rsidR="00FA32AA" w:rsidRPr="001D666D">
        <w:rPr>
          <w:rFonts w:ascii="Calibri Light" w:hAnsi="Calibri Light" w:cs="Calibri Light"/>
          <w:sz w:val="24"/>
          <w:szCs w:val="24"/>
        </w:rPr>
        <w:t xml:space="preserve">konsolidirano </w:t>
      </w:r>
      <w:r w:rsidRPr="001D666D">
        <w:rPr>
          <w:rFonts w:ascii="Calibri Light" w:hAnsi="Calibri Light" w:cs="Calibri Light"/>
          <w:b/>
          <w:sz w:val="24"/>
          <w:szCs w:val="24"/>
        </w:rPr>
        <w:t>letno poročilo o izvajanju in izvrševanju trgovinskih sporazumov EU</w:t>
      </w:r>
      <w:r w:rsidRPr="001D666D">
        <w:rPr>
          <w:rFonts w:ascii="Calibri Light" w:hAnsi="Calibri Light" w:cs="Calibri Light"/>
          <w:sz w:val="24"/>
          <w:szCs w:val="24"/>
        </w:rPr>
        <w:t xml:space="preserve">. </w:t>
      </w:r>
      <w:r w:rsidRPr="001D666D">
        <w:rPr>
          <w:rFonts w:ascii="Calibri Light" w:hAnsi="Calibri Light" w:cs="Calibri Light"/>
          <w:color w:val="000000"/>
          <w:sz w:val="24"/>
          <w:szCs w:val="24"/>
        </w:rPr>
        <w:t xml:space="preserve">Poročilo kaže, da trgovinski sporazumi EU </w:t>
      </w:r>
      <w:r w:rsidR="00891538" w:rsidRPr="001D666D">
        <w:rPr>
          <w:rFonts w:ascii="Calibri Light" w:hAnsi="Calibri Light" w:cs="Calibri Light"/>
          <w:color w:val="000000"/>
          <w:sz w:val="24"/>
          <w:szCs w:val="24"/>
        </w:rPr>
        <w:t>omogočajo v</w:t>
      </w:r>
      <w:r w:rsidRPr="001D666D">
        <w:rPr>
          <w:rFonts w:ascii="Calibri Light" w:hAnsi="Calibri Light" w:cs="Calibri Light"/>
          <w:color w:val="000000"/>
          <w:sz w:val="24"/>
          <w:szCs w:val="24"/>
        </w:rPr>
        <w:t xml:space="preserve">ečji izvoz, stabilnejše gospodarske odnose in varen dostop do virov. </w:t>
      </w:r>
    </w:p>
    <w:p w14:paraId="51DCEBAE" w14:textId="77777777" w:rsidR="001D666D" w:rsidRPr="001D666D" w:rsidRDefault="001D666D" w:rsidP="001D666D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7A3C8A88" w14:textId="234A533F" w:rsidR="00AC2C75" w:rsidRPr="001D666D" w:rsidRDefault="00AC2C75" w:rsidP="001D666D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666D">
        <w:rPr>
          <w:rFonts w:ascii="Calibri Light" w:hAnsi="Calibri Light" w:cs="Calibri Light"/>
          <w:color w:val="000000"/>
          <w:sz w:val="24"/>
          <w:szCs w:val="24"/>
        </w:rPr>
        <w:t xml:space="preserve">Poročilo tudi kaže, da prizadevanja EU za odpravo trgovinskih ovir in podporo malim </w:t>
      </w:r>
      <w:r w:rsidR="00FA32AA" w:rsidRPr="001D666D">
        <w:rPr>
          <w:rFonts w:ascii="Calibri Light" w:hAnsi="Calibri Light" w:cs="Calibri Light"/>
          <w:color w:val="000000"/>
          <w:sz w:val="24"/>
          <w:szCs w:val="24"/>
        </w:rPr>
        <w:t xml:space="preserve">in srednjim podjetjem, ki predstavljajo 94% vseh podjetij v EU, </w:t>
      </w:r>
      <w:r w:rsidRPr="001D666D">
        <w:rPr>
          <w:rFonts w:ascii="Calibri Light" w:hAnsi="Calibri Light" w:cs="Calibri Light"/>
          <w:color w:val="000000"/>
          <w:sz w:val="24"/>
          <w:szCs w:val="24"/>
        </w:rPr>
        <w:t>pomagajo pri izvozu iz EU in tako podpirajo evropska delovna mesta.</w:t>
      </w:r>
    </w:p>
    <w:p w14:paraId="756853FA" w14:textId="77777777" w:rsidR="001D666D" w:rsidRPr="001D666D" w:rsidRDefault="001D666D" w:rsidP="001D666D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7F9B8F38" w14:textId="77777777" w:rsidR="00694B46" w:rsidRPr="001D666D" w:rsidRDefault="00694B46" w:rsidP="001D666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666D">
        <w:rPr>
          <w:rFonts w:ascii="Calibri Light" w:hAnsi="Calibri Light" w:cs="Calibri Light"/>
          <w:color w:val="000000"/>
          <w:sz w:val="24"/>
          <w:szCs w:val="24"/>
        </w:rPr>
        <w:t xml:space="preserve">EU je imela leta </w:t>
      </w:r>
      <w:r w:rsidRPr="001D666D">
        <w:rPr>
          <w:rFonts w:ascii="Calibri Light" w:hAnsi="Calibri Light" w:cs="Calibri Light"/>
          <w:b/>
          <w:color w:val="000000"/>
          <w:sz w:val="24"/>
          <w:szCs w:val="24"/>
        </w:rPr>
        <w:t xml:space="preserve">2021 </w:t>
      </w:r>
      <w:r w:rsidRPr="001D666D">
        <w:rPr>
          <w:rFonts w:ascii="Calibri Light" w:hAnsi="Calibri Light" w:cs="Calibri Light"/>
          <w:color w:val="000000"/>
          <w:sz w:val="24"/>
          <w:szCs w:val="24"/>
        </w:rPr>
        <w:t xml:space="preserve">sklenjenih </w:t>
      </w:r>
      <w:r w:rsidRPr="001D666D">
        <w:rPr>
          <w:rFonts w:ascii="Calibri Light" w:hAnsi="Calibri Light" w:cs="Calibri Light"/>
          <w:b/>
          <w:color w:val="000000"/>
          <w:sz w:val="24"/>
          <w:szCs w:val="24"/>
          <w:highlight w:val="yellow"/>
        </w:rPr>
        <w:t>42 preferencialnih trgovinskih sporazumov s 74 partnericami</w:t>
      </w:r>
      <w:r w:rsidRPr="001D666D">
        <w:rPr>
          <w:rFonts w:ascii="Calibri Light" w:hAnsi="Calibri Light" w:cs="Calibri Light"/>
          <w:color w:val="000000"/>
          <w:sz w:val="24"/>
          <w:szCs w:val="24"/>
        </w:rPr>
        <w:t xml:space="preserve">. Vpliv te mreže pa je odvisen od tega, ali se ti sporazumi in pravila mednarodne trgovine </w:t>
      </w:r>
      <w:r w:rsidRPr="001D666D">
        <w:rPr>
          <w:rFonts w:ascii="Calibri Light" w:hAnsi="Calibri Light" w:cs="Calibri Light"/>
          <w:b/>
          <w:bCs/>
          <w:color w:val="000000"/>
          <w:sz w:val="24"/>
          <w:szCs w:val="24"/>
        </w:rPr>
        <w:t>ustrezno izvajajo in izvršujejo</w:t>
      </w:r>
      <w:r w:rsidRPr="001D666D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0DD25574" w14:textId="77777777" w:rsidR="00F4017A" w:rsidRPr="001D666D" w:rsidRDefault="00F4017A" w:rsidP="001D666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5924EB3A" w14:textId="3E6A9196" w:rsidR="00694B46" w:rsidRPr="001D666D" w:rsidRDefault="00694B46" w:rsidP="001D666D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1D666D">
        <w:rPr>
          <w:rFonts w:ascii="Calibri Light" w:hAnsi="Calibri Light" w:cs="Calibri Light"/>
          <w:sz w:val="24"/>
          <w:szCs w:val="24"/>
        </w:rPr>
        <w:t xml:space="preserve">Motnje na trgih in v dobavnih verigah še poudarjajo pomen odprte trgovine, skupnih vrednot in iskanja alternativnih možnosti za ohranitev trgovinskih tokov v EU in iz nje. Ob vse višjih cenah energije in pomanjkanju surovin, vključno s kmetijskimi proizvodi, je </w:t>
      </w:r>
      <w:r w:rsidRPr="001D666D">
        <w:rPr>
          <w:rFonts w:ascii="Calibri Light" w:hAnsi="Calibri Light" w:cs="Calibri Light"/>
          <w:b/>
          <w:sz w:val="24"/>
          <w:szCs w:val="24"/>
        </w:rPr>
        <w:t>mreža trgovinskih sporazumov EU pomembna prednost, ki omogoča, da trgi ostajajo odprti, podjetjem pa pomaga pri diverzifikaciji dobavnih verig.</w:t>
      </w:r>
    </w:p>
    <w:p w14:paraId="195FF366" w14:textId="77777777" w:rsidR="001D666D" w:rsidRPr="001D666D" w:rsidRDefault="001D666D" w:rsidP="001D666D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60F0BA" w14:textId="1109439C" w:rsidR="00694B46" w:rsidRPr="001D666D" w:rsidRDefault="00694B46" w:rsidP="001D666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iCs/>
          <w:color w:val="000000"/>
          <w:sz w:val="24"/>
          <w:szCs w:val="24"/>
        </w:rPr>
      </w:pPr>
      <w:r w:rsidRPr="001D666D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Leta 2021 je </w:t>
      </w:r>
      <w:r w:rsidRPr="001D666D">
        <w:rPr>
          <w:rFonts w:ascii="Calibri Light" w:hAnsi="Calibri Light" w:cs="Calibri Light"/>
          <w:b/>
          <w:bCs/>
          <w:iCs/>
          <w:color w:val="000000"/>
          <w:sz w:val="24"/>
          <w:szCs w:val="24"/>
          <w:highlight w:val="yellow"/>
        </w:rPr>
        <w:t>44 % trgovine EU</w:t>
      </w:r>
      <w:r w:rsidRPr="001D666D">
        <w:rPr>
          <w:rFonts w:ascii="Calibri Light" w:hAnsi="Calibri Light" w:cs="Calibri Light"/>
          <w:bCs/>
          <w:iCs/>
          <w:color w:val="000000"/>
          <w:sz w:val="24"/>
          <w:szCs w:val="24"/>
          <w:highlight w:val="yellow"/>
        </w:rPr>
        <w:t xml:space="preserve"> potekalo na podlagi preferencialnih trgovinskih sporazumov</w:t>
      </w:r>
      <w:r w:rsidRPr="001D666D">
        <w:rPr>
          <w:rFonts w:ascii="Calibri Light" w:hAnsi="Calibri Light" w:cs="Calibri Light"/>
          <w:bCs/>
          <w:iCs/>
          <w:color w:val="000000"/>
          <w:sz w:val="24"/>
          <w:szCs w:val="24"/>
        </w:rPr>
        <w:t xml:space="preserve">.  </w:t>
      </w:r>
    </w:p>
    <w:p w14:paraId="2B7369F3" w14:textId="77777777" w:rsidR="001D666D" w:rsidRPr="001D666D" w:rsidRDefault="001D666D" w:rsidP="001D666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39FFF58C" w14:textId="05B4648D" w:rsidR="00694B46" w:rsidRPr="001D666D" w:rsidRDefault="00694B46" w:rsidP="001D666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666D">
        <w:rPr>
          <w:rFonts w:ascii="Calibri Light" w:hAnsi="Calibri Light" w:cs="Calibri Light"/>
          <w:sz w:val="24"/>
          <w:szCs w:val="24"/>
        </w:rPr>
        <w:t xml:space="preserve">Vrednost trgovine EU s preferencialnimi trgovinskimi partnericami je leta 2021 znašala </w:t>
      </w:r>
      <w:r w:rsidRPr="001D666D">
        <w:rPr>
          <w:rFonts w:ascii="Calibri Light" w:hAnsi="Calibri Light" w:cs="Calibri Light"/>
          <w:b/>
          <w:sz w:val="24"/>
          <w:szCs w:val="24"/>
        </w:rPr>
        <w:t>1 891 milijard EUR</w:t>
      </w:r>
      <w:r w:rsidRPr="001D666D">
        <w:rPr>
          <w:rFonts w:ascii="Calibri Light" w:hAnsi="Calibri Light" w:cs="Calibri Light"/>
          <w:sz w:val="24"/>
          <w:szCs w:val="24"/>
        </w:rPr>
        <w:t xml:space="preserve">, kar je </w:t>
      </w:r>
      <w:r w:rsidRPr="001D666D">
        <w:rPr>
          <w:rFonts w:ascii="Calibri Light" w:hAnsi="Calibri Light" w:cs="Calibri Light"/>
          <w:sz w:val="24"/>
          <w:szCs w:val="24"/>
          <w:highlight w:val="yellow"/>
        </w:rPr>
        <w:t>44 % njene zunanje trgovine</w:t>
      </w:r>
      <w:r w:rsidRPr="001D666D">
        <w:rPr>
          <w:rFonts w:ascii="Calibri Light" w:hAnsi="Calibri Light" w:cs="Calibri Light"/>
          <w:sz w:val="24"/>
          <w:szCs w:val="24"/>
        </w:rPr>
        <w:t xml:space="preserve"> (tj. brez trgovine med državami članicami). Leta 2021 je </w:t>
      </w:r>
      <w:r w:rsidRPr="001D666D">
        <w:rPr>
          <w:rFonts w:ascii="Calibri Light" w:hAnsi="Calibri Light" w:cs="Calibri Light"/>
          <w:b/>
          <w:sz w:val="24"/>
          <w:szCs w:val="24"/>
          <w:highlight w:val="yellow"/>
        </w:rPr>
        <w:t>vrednost izvoza EU v preferencialne trgovinske partnerice</w:t>
      </w:r>
      <w:r w:rsidRPr="001D666D">
        <w:rPr>
          <w:rFonts w:ascii="Calibri Light" w:hAnsi="Calibri Light" w:cs="Calibri Light"/>
          <w:b/>
          <w:sz w:val="24"/>
          <w:szCs w:val="24"/>
        </w:rPr>
        <w:t xml:space="preserve"> prvič presegla 1 bilijon EUR in je znašala </w:t>
      </w:r>
      <w:r w:rsidRPr="001D666D">
        <w:rPr>
          <w:rFonts w:ascii="Calibri Light" w:hAnsi="Calibri Light" w:cs="Calibri Light"/>
          <w:b/>
          <w:sz w:val="24"/>
          <w:szCs w:val="24"/>
          <w:highlight w:val="yellow"/>
        </w:rPr>
        <w:t>1 049 milijard EUR</w:t>
      </w:r>
      <w:r w:rsidRPr="001D666D">
        <w:rPr>
          <w:rFonts w:ascii="Calibri Light" w:hAnsi="Calibri Light" w:cs="Calibri Light"/>
          <w:sz w:val="24"/>
          <w:szCs w:val="24"/>
        </w:rPr>
        <w:t>, vrednost uvoza iz teh držav v EU pa 841 milijard EUR. Če bi se temu dodala vrednost trgovine s partnericami, s katerimi je EU zaključila pogajanja o sporazumih, ki so v postopku sprejetja ali ratifikacije (3,4 %), bi se vrednost trgovine EU s preferencialnimi trgovinskimi partnericami povečala na 47,4 % njene celotne zunanje trgovine.</w:t>
      </w:r>
    </w:p>
    <w:p w14:paraId="74821D75" w14:textId="77777777" w:rsidR="001D666D" w:rsidRPr="001D666D" w:rsidRDefault="001D666D" w:rsidP="001D666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B7BDDF1" w14:textId="3EB10019" w:rsidR="00F4017A" w:rsidRPr="001D666D" w:rsidRDefault="00F4017A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1D666D">
        <w:rPr>
          <w:rFonts w:ascii="Calibri Light" w:hAnsi="Calibri Light" w:cs="Calibri Light"/>
          <w:color w:val="000000"/>
        </w:rPr>
        <w:t>Izvoz iz EU v preferencialne partnerice (brez Združenega kraljestva) se je med letoma 2020 in 2021 povečal več (16 %) kot izvoz EU v vse trgovinske partnerice (13 %).</w:t>
      </w:r>
    </w:p>
    <w:p w14:paraId="275D9CD2" w14:textId="77777777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72995C7C" w14:textId="77777777" w:rsidR="001D666D" w:rsidRPr="001D666D" w:rsidRDefault="00AC2C75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1D666D">
        <w:rPr>
          <w:rFonts w:ascii="Calibri Light" w:hAnsi="Calibri Light" w:cs="Calibri Light"/>
          <w:color w:val="000000"/>
        </w:rPr>
        <w:t xml:space="preserve">Trgovinski sporazumi EU </w:t>
      </w:r>
      <w:r w:rsidRPr="001D666D">
        <w:rPr>
          <w:rFonts w:ascii="Calibri Light" w:hAnsi="Calibri Light" w:cs="Calibri Light"/>
          <w:color w:val="000000"/>
          <w:highlight w:val="yellow"/>
        </w:rPr>
        <w:t xml:space="preserve">olajšujejo </w:t>
      </w:r>
      <w:r w:rsidRPr="001D666D">
        <w:rPr>
          <w:rFonts w:ascii="Calibri Light" w:hAnsi="Calibri Light" w:cs="Calibri Light"/>
          <w:b/>
          <w:color w:val="000000"/>
          <w:highlight w:val="yellow"/>
        </w:rPr>
        <w:t>uvoz surovin</w:t>
      </w:r>
      <w:r w:rsidRPr="001D666D">
        <w:rPr>
          <w:rFonts w:ascii="Calibri Light" w:hAnsi="Calibri Light" w:cs="Calibri Light"/>
          <w:color w:val="000000"/>
        </w:rPr>
        <w:t xml:space="preserve">. EU na primer trenutno uvaža 24 % kritičnih surovin iz preferencialnih trgovinskih partneric. Ko bo sklenjen sporazum o prosti trgovini z </w:t>
      </w:r>
      <w:r w:rsidRPr="001D666D">
        <w:rPr>
          <w:rFonts w:ascii="Calibri Light" w:hAnsi="Calibri Light" w:cs="Calibri Light"/>
          <w:color w:val="000000"/>
          <w:highlight w:val="yellow"/>
        </w:rPr>
        <w:t>Avstralijo</w:t>
      </w:r>
      <w:r w:rsidRPr="001D666D">
        <w:rPr>
          <w:rFonts w:ascii="Calibri Light" w:hAnsi="Calibri Light" w:cs="Calibri Light"/>
          <w:color w:val="000000"/>
        </w:rPr>
        <w:t xml:space="preserve">, o katerem trenutno potekajo pogajanja, pa se bo ta delež povečal na 46 %. S posodobitvijo sporazuma s </w:t>
      </w:r>
      <w:r w:rsidRPr="001D666D">
        <w:rPr>
          <w:rFonts w:ascii="Calibri Light" w:hAnsi="Calibri Light" w:cs="Calibri Light"/>
          <w:color w:val="000000"/>
          <w:highlight w:val="yellow"/>
        </w:rPr>
        <w:t>Čilom</w:t>
      </w:r>
      <w:r w:rsidRPr="001D666D">
        <w:rPr>
          <w:rFonts w:ascii="Calibri Light" w:hAnsi="Calibri Light" w:cs="Calibri Light"/>
          <w:color w:val="000000"/>
        </w:rPr>
        <w:t>, ki je največji izvoznik rafiniranega litija v EU (78 %), naj bi se še okrepilo zanesljivo pridobivanje tega ključnega vira ter s tem tudi zeleni in digitalni prehod.  </w:t>
      </w:r>
    </w:p>
    <w:p w14:paraId="49FE3779" w14:textId="4D55E0AE" w:rsidR="00AC2C75" w:rsidRPr="001D666D" w:rsidRDefault="00AC2C75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1D666D">
        <w:rPr>
          <w:rFonts w:ascii="Calibri Light" w:hAnsi="Calibri Light" w:cs="Calibri Light"/>
          <w:color w:val="000000"/>
        </w:rPr>
        <w:t> </w:t>
      </w:r>
    </w:p>
    <w:p w14:paraId="38A2FD64" w14:textId="007DE2C2" w:rsidR="00AC2C75" w:rsidRPr="001D666D" w:rsidRDefault="00FA32AA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1D666D">
        <w:rPr>
          <w:rStyle w:val="Krepko"/>
          <w:rFonts w:ascii="Calibri Light" w:hAnsi="Calibri Light" w:cs="Calibri Light"/>
          <w:b w:val="0"/>
          <w:color w:val="000000"/>
        </w:rPr>
        <w:t xml:space="preserve">Poročilo navaja </w:t>
      </w:r>
      <w:r w:rsidR="005559A8" w:rsidRPr="001D666D">
        <w:rPr>
          <w:rStyle w:val="Krepko"/>
          <w:rFonts w:ascii="Calibri Light" w:hAnsi="Calibri Light" w:cs="Calibri Light"/>
          <w:b w:val="0"/>
          <w:color w:val="000000"/>
        </w:rPr>
        <w:t xml:space="preserve"> odpravo </w:t>
      </w:r>
      <w:r w:rsidR="00AC2C75" w:rsidRPr="001D666D">
        <w:rPr>
          <w:rStyle w:val="Krepko"/>
          <w:rFonts w:ascii="Calibri Light" w:hAnsi="Calibri Light" w:cs="Calibri Light"/>
          <w:b w:val="0"/>
          <w:color w:val="000000"/>
        </w:rPr>
        <w:t xml:space="preserve">več </w:t>
      </w:r>
      <w:r w:rsidR="00694B46" w:rsidRPr="001D666D">
        <w:rPr>
          <w:rStyle w:val="Krepko"/>
          <w:rFonts w:ascii="Calibri Light" w:hAnsi="Calibri Light" w:cs="Calibri Light"/>
          <w:b w:val="0"/>
          <w:color w:val="000000"/>
        </w:rPr>
        <w:t xml:space="preserve">trgovinskih </w:t>
      </w:r>
      <w:r w:rsidR="00AC2C75" w:rsidRPr="001D666D">
        <w:rPr>
          <w:rStyle w:val="Krepko"/>
          <w:rFonts w:ascii="Calibri Light" w:hAnsi="Calibri Light" w:cs="Calibri Light"/>
          <w:b w:val="0"/>
          <w:color w:val="000000"/>
        </w:rPr>
        <w:t>ovir in dosežen napredek pri trgovinskih sporih</w:t>
      </w:r>
      <w:r w:rsidR="00694B46" w:rsidRPr="001D666D">
        <w:rPr>
          <w:rStyle w:val="Krepko"/>
          <w:rFonts w:ascii="Calibri Light" w:hAnsi="Calibri Light" w:cs="Calibri Light"/>
          <w:b w:val="0"/>
          <w:color w:val="000000"/>
        </w:rPr>
        <w:t>.</w:t>
      </w:r>
      <w:r w:rsidR="00694B46" w:rsidRPr="001D666D">
        <w:rPr>
          <w:rStyle w:val="Krepko"/>
          <w:rFonts w:ascii="Calibri Light" w:hAnsi="Calibri Light" w:cs="Calibri Light"/>
          <w:color w:val="000000"/>
        </w:rPr>
        <w:t xml:space="preserve"> </w:t>
      </w:r>
      <w:r w:rsidR="002945B6" w:rsidRPr="001D666D">
        <w:rPr>
          <w:rFonts w:ascii="Calibri Light" w:hAnsi="Calibri Light" w:cs="Calibri Light"/>
          <w:color w:val="000000"/>
        </w:rPr>
        <w:t xml:space="preserve">Zaradi </w:t>
      </w:r>
      <w:r w:rsidR="002945B6" w:rsidRPr="001D666D">
        <w:rPr>
          <w:rFonts w:ascii="Calibri Light" w:hAnsi="Calibri Light" w:cs="Calibri Light"/>
          <w:b/>
          <w:color w:val="000000"/>
        </w:rPr>
        <w:t>odprave trgovinskih ovir</w:t>
      </w:r>
      <w:r w:rsidR="002945B6" w:rsidRPr="001D666D">
        <w:rPr>
          <w:rFonts w:ascii="Calibri Light" w:hAnsi="Calibri Light" w:cs="Calibri Light"/>
          <w:color w:val="000000"/>
        </w:rPr>
        <w:t xml:space="preserve"> med leti 2015 in 202</w:t>
      </w:r>
      <w:r w:rsidR="00F4017A" w:rsidRPr="001D666D">
        <w:rPr>
          <w:rFonts w:ascii="Calibri Light" w:hAnsi="Calibri Light" w:cs="Calibri Light"/>
          <w:color w:val="000000"/>
        </w:rPr>
        <w:t>0</w:t>
      </w:r>
      <w:r w:rsidR="002945B6" w:rsidRPr="001D666D">
        <w:rPr>
          <w:rFonts w:ascii="Calibri Light" w:hAnsi="Calibri Light" w:cs="Calibri Light"/>
          <w:color w:val="000000"/>
        </w:rPr>
        <w:t xml:space="preserve"> je bil </w:t>
      </w:r>
      <w:r w:rsidR="002945B6" w:rsidRPr="001D666D">
        <w:rPr>
          <w:rFonts w:ascii="Calibri Light" w:hAnsi="Calibri Light" w:cs="Calibri Light"/>
          <w:b/>
          <w:color w:val="000000"/>
        </w:rPr>
        <w:t>i</w:t>
      </w:r>
      <w:r w:rsidR="00AC2C75" w:rsidRPr="001D666D">
        <w:rPr>
          <w:rFonts w:ascii="Calibri Light" w:hAnsi="Calibri Light" w:cs="Calibri Light"/>
          <w:b/>
          <w:color w:val="000000"/>
        </w:rPr>
        <w:t>zvoz EU leta 2021 za 7,2 milijarde evrov višji</w:t>
      </w:r>
      <w:r w:rsidR="002945B6" w:rsidRPr="001D666D">
        <w:rPr>
          <w:rFonts w:ascii="Calibri Light" w:hAnsi="Calibri Light" w:cs="Calibri Light"/>
          <w:color w:val="000000"/>
        </w:rPr>
        <w:t xml:space="preserve">. </w:t>
      </w:r>
      <w:r w:rsidR="00AC2C75" w:rsidRPr="001D666D">
        <w:rPr>
          <w:rFonts w:ascii="Calibri Light" w:hAnsi="Calibri Light" w:cs="Calibri Light"/>
          <w:color w:val="000000"/>
          <w:highlight w:val="yellow"/>
        </w:rPr>
        <w:t xml:space="preserve">Leta 2021 je bilo v celoti ali delno </w:t>
      </w:r>
      <w:r w:rsidR="00AC2C75" w:rsidRPr="001D666D">
        <w:rPr>
          <w:rFonts w:ascii="Calibri Light" w:hAnsi="Calibri Light" w:cs="Calibri Light"/>
          <w:b/>
          <w:color w:val="000000"/>
          <w:highlight w:val="yellow"/>
        </w:rPr>
        <w:t>odpravljenih 39 trgovinskih ovir</w:t>
      </w:r>
      <w:r w:rsidR="00AC2C75" w:rsidRPr="001D666D">
        <w:rPr>
          <w:rFonts w:ascii="Calibri Light" w:hAnsi="Calibri Light" w:cs="Calibri Light"/>
          <w:color w:val="000000"/>
        </w:rPr>
        <w:t xml:space="preserve"> (šest več kot leta 2020), in sicer večinoma v sodelovanju z zadevnimi trgovinskimi partnerji. Njihova odprava je imela takojšen pozitiven učinek na izvoznike EU</w:t>
      </w:r>
      <w:r w:rsidR="00D65508" w:rsidRPr="001D666D">
        <w:rPr>
          <w:rFonts w:ascii="Calibri Light" w:hAnsi="Calibri Light" w:cs="Calibri Light"/>
          <w:color w:val="000000"/>
        </w:rPr>
        <w:t xml:space="preserve">. </w:t>
      </w:r>
      <w:r w:rsidR="00AC2C75" w:rsidRPr="001D666D">
        <w:rPr>
          <w:rFonts w:ascii="Calibri Light" w:hAnsi="Calibri Light" w:cs="Calibri Light"/>
          <w:color w:val="000000"/>
        </w:rPr>
        <w:t xml:space="preserve"> </w:t>
      </w:r>
    </w:p>
    <w:p w14:paraId="7870DA8E" w14:textId="77777777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5FDFB666" w14:textId="1C7D6EA1" w:rsidR="00D65508" w:rsidRPr="001D666D" w:rsidRDefault="00D65508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1D666D">
        <w:rPr>
          <w:rFonts w:ascii="Calibri Light" w:hAnsi="Calibri Light" w:cs="Calibri Light"/>
          <w:color w:val="000000"/>
        </w:rPr>
        <w:lastRenderedPageBreak/>
        <w:t xml:space="preserve">Poročilo vsebuje tudi najnovejše informacije o številnih zakonodajnih instrumentih EU, povezanih s trgovino, zlasti </w:t>
      </w:r>
      <w:r w:rsidRPr="001D666D">
        <w:rPr>
          <w:rFonts w:ascii="Calibri Light" w:hAnsi="Calibri Light" w:cs="Calibri Light"/>
          <w:color w:val="000000"/>
          <w:highlight w:val="yellow"/>
        </w:rPr>
        <w:t>o instrumentu za mednarodno javno naročanje</w:t>
      </w:r>
      <w:r w:rsidRPr="001D666D">
        <w:rPr>
          <w:rFonts w:ascii="Calibri Light" w:hAnsi="Calibri Light" w:cs="Calibri Light"/>
          <w:color w:val="000000"/>
        </w:rPr>
        <w:t>, ki velja od 29. avgusta</w:t>
      </w:r>
      <w:r w:rsidR="00891538" w:rsidRPr="001D666D">
        <w:rPr>
          <w:rFonts w:ascii="Calibri Light" w:hAnsi="Calibri Light" w:cs="Calibri Light"/>
          <w:color w:val="000000"/>
        </w:rPr>
        <w:t xml:space="preserve"> in</w:t>
      </w:r>
      <w:r w:rsidRPr="001D666D">
        <w:rPr>
          <w:rFonts w:ascii="Calibri Light" w:hAnsi="Calibri Light" w:cs="Calibri Light"/>
          <w:color w:val="000000"/>
        </w:rPr>
        <w:t xml:space="preserve"> </w:t>
      </w:r>
      <w:r w:rsidR="00891538" w:rsidRPr="001D666D">
        <w:rPr>
          <w:rFonts w:ascii="Calibri Light" w:hAnsi="Calibri Light" w:cs="Calibri Light"/>
          <w:color w:val="000000"/>
        </w:rPr>
        <w:t xml:space="preserve">npr. </w:t>
      </w:r>
      <w:r w:rsidRPr="001D666D">
        <w:rPr>
          <w:rFonts w:ascii="Calibri Light" w:hAnsi="Calibri Light" w:cs="Calibri Light"/>
          <w:color w:val="000000"/>
        </w:rPr>
        <w:t>o predlogu Komisije za instrument za odvračanje od prisilnih ukrepov.</w:t>
      </w:r>
    </w:p>
    <w:p w14:paraId="1309CADE" w14:textId="77777777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2465556D" w14:textId="79B858D9" w:rsidR="00FA32AA" w:rsidRPr="001D666D" w:rsidRDefault="00F4017A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111111"/>
        </w:rPr>
      </w:pPr>
      <w:r w:rsidRPr="001D666D">
        <w:rPr>
          <w:rFonts w:ascii="Calibri Light" w:hAnsi="Calibri Light" w:cs="Calibri Light"/>
          <w:b/>
          <w:color w:val="000000"/>
        </w:rPr>
        <w:t>Vse p</w:t>
      </w:r>
      <w:r w:rsidR="00694B46" w:rsidRPr="001D666D">
        <w:rPr>
          <w:rFonts w:ascii="Calibri Light" w:hAnsi="Calibri Light" w:cs="Calibri Light"/>
          <w:b/>
          <w:color w:val="000000"/>
        </w:rPr>
        <w:t xml:space="preserve">rednosti trgovinskih sporazumov EU </w:t>
      </w:r>
      <w:r w:rsidR="00694B46" w:rsidRPr="001D666D">
        <w:rPr>
          <w:rFonts w:ascii="Calibri Light" w:hAnsi="Calibri Light" w:cs="Calibri Light"/>
          <w:b/>
          <w:color w:val="000000"/>
          <w:highlight w:val="yellow"/>
        </w:rPr>
        <w:t xml:space="preserve">lahko </w:t>
      </w:r>
      <w:r w:rsidRPr="001D666D">
        <w:rPr>
          <w:rFonts w:ascii="Calibri Light" w:hAnsi="Calibri Light" w:cs="Calibri Light"/>
          <w:b/>
          <w:color w:val="000000"/>
          <w:highlight w:val="yellow"/>
        </w:rPr>
        <w:t>koristijo tudi slovenska podjetja</w:t>
      </w:r>
      <w:r w:rsidRPr="001D666D">
        <w:rPr>
          <w:rFonts w:ascii="Calibri Light" w:hAnsi="Calibri Light" w:cs="Calibri Light"/>
          <w:color w:val="000000"/>
        </w:rPr>
        <w:t xml:space="preserve">. </w:t>
      </w:r>
      <w:r w:rsidR="00FA32AA" w:rsidRPr="001D666D">
        <w:rPr>
          <w:rFonts w:ascii="Calibri Light" w:hAnsi="Calibri Light" w:cs="Calibri Light"/>
          <w:color w:val="000000"/>
        </w:rPr>
        <w:t xml:space="preserve">Slovenija aktivno </w:t>
      </w:r>
      <w:r w:rsidR="00FA32AA" w:rsidRPr="001D666D">
        <w:rPr>
          <w:rFonts w:ascii="Calibri Light" w:hAnsi="Calibri Light" w:cs="Calibri Light"/>
          <w:color w:val="111111"/>
        </w:rPr>
        <w:t>sodeluje na ravni EU in podpira vsa prizadevanja Evropske komisije, da bi bila evropska podjetja bila čim bolj ozaveščena o možnostih, ki jih prinašajo sporazumi o prosti trgovini.  </w:t>
      </w:r>
    </w:p>
    <w:p w14:paraId="3035717F" w14:textId="77777777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5E8AFF6D" w14:textId="77777777" w:rsidR="00AC2C75" w:rsidRPr="001D666D" w:rsidRDefault="00F4017A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1D666D">
        <w:rPr>
          <w:rFonts w:ascii="Calibri Light" w:hAnsi="Calibri Light" w:cs="Calibri Light"/>
          <w:color w:val="000000"/>
        </w:rPr>
        <w:t>Več konkretnih informacij glede sporazumov o prosti trgovini EU lahko dobi</w:t>
      </w:r>
      <w:r w:rsidR="00FA32AA" w:rsidRPr="001D666D">
        <w:rPr>
          <w:rFonts w:ascii="Calibri Light" w:hAnsi="Calibri Light" w:cs="Calibri Light"/>
          <w:color w:val="000000"/>
        </w:rPr>
        <w:t>te</w:t>
      </w:r>
      <w:r w:rsidRPr="001D666D">
        <w:rPr>
          <w:rFonts w:ascii="Calibri Light" w:hAnsi="Calibri Light" w:cs="Calibri Light"/>
          <w:color w:val="000000"/>
        </w:rPr>
        <w:t xml:space="preserve"> tudi na brezplačni platformi Evropske komisije </w:t>
      </w:r>
      <w:hyperlink r:id="rId7" w:history="1">
        <w:r w:rsidRPr="001D666D">
          <w:rPr>
            <w:rStyle w:val="Hiperpovezava"/>
            <w:rFonts w:ascii="Calibri Light" w:hAnsi="Calibri Light" w:cs="Calibri Light"/>
            <w:b/>
          </w:rPr>
          <w:t>Access2Markets</w:t>
        </w:r>
      </w:hyperlink>
      <w:r w:rsidRPr="001D666D">
        <w:rPr>
          <w:rFonts w:ascii="Calibri Light" w:hAnsi="Calibri Light" w:cs="Calibri Light"/>
          <w:color w:val="000000"/>
        </w:rPr>
        <w:t xml:space="preserve"> </w:t>
      </w:r>
      <w:r w:rsidR="00AC2C75" w:rsidRPr="001D666D">
        <w:rPr>
          <w:rFonts w:ascii="Calibri Light" w:hAnsi="Calibri Light" w:cs="Calibri Light"/>
          <w:b/>
          <w:color w:val="000000"/>
        </w:rPr>
        <w:t xml:space="preserve"> </w:t>
      </w:r>
      <w:r w:rsidR="00AC2C75" w:rsidRPr="001D666D">
        <w:rPr>
          <w:rFonts w:ascii="Calibri Light" w:hAnsi="Calibri Light" w:cs="Calibri Light"/>
          <w:color w:val="000000"/>
        </w:rPr>
        <w:t xml:space="preserve">(ki zajema </w:t>
      </w:r>
      <w:r w:rsidR="00AC2C75" w:rsidRPr="001D666D">
        <w:rPr>
          <w:rFonts w:ascii="Calibri Light" w:hAnsi="Calibri Light" w:cs="Calibri Light"/>
          <w:b/>
          <w:color w:val="000000"/>
          <w:highlight w:val="yellow"/>
        </w:rPr>
        <w:t>135 izvoznih trgov</w:t>
      </w:r>
      <w:r w:rsidR="00AC2C75" w:rsidRPr="001D666D">
        <w:rPr>
          <w:rFonts w:ascii="Calibri Light" w:hAnsi="Calibri Light" w:cs="Calibri Light"/>
          <w:color w:val="000000"/>
        </w:rPr>
        <w:t xml:space="preserve"> in vse države EU)</w:t>
      </w:r>
      <w:r w:rsidRPr="001D666D">
        <w:rPr>
          <w:rFonts w:ascii="Calibri Light" w:hAnsi="Calibri Light" w:cs="Calibri Light"/>
          <w:color w:val="000000"/>
        </w:rPr>
        <w:t>. Platformo je o</w:t>
      </w:r>
      <w:r w:rsidR="00AC2C75" w:rsidRPr="001D666D">
        <w:rPr>
          <w:rFonts w:ascii="Calibri Light" w:hAnsi="Calibri Light" w:cs="Calibri Light"/>
          <w:color w:val="000000"/>
        </w:rPr>
        <w:t xml:space="preserve">biskalo že več kot </w:t>
      </w:r>
      <w:r w:rsidR="00AC2C75" w:rsidRPr="001D666D">
        <w:rPr>
          <w:rFonts w:ascii="Calibri Light" w:hAnsi="Calibri Light" w:cs="Calibri Light"/>
          <w:b/>
          <w:color w:val="000000"/>
        </w:rPr>
        <w:t>tri milijone uporabnikov</w:t>
      </w:r>
      <w:r w:rsidRPr="001D666D">
        <w:rPr>
          <w:rFonts w:ascii="Calibri Light" w:hAnsi="Calibri Light" w:cs="Calibri Light"/>
          <w:color w:val="000000"/>
        </w:rPr>
        <w:t xml:space="preserve">, </w:t>
      </w:r>
      <w:r w:rsidR="00AC2C75" w:rsidRPr="001D666D">
        <w:rPr>
          <w:rFonts w:ascii="Calibri Light" w:hAnsi="Calibri Light" w:cs="Calibri Light"/>
          <w:color w:val="000000"/>
        </w:rPr>
        <w:t xml:space="preserve">dodane so bile nove vsebine v zvezi s </w:t>
      </w:r>
      <w:r w:rsidR="00AC2C75" w:rsidRPr="001D666D">
        <w:rPr>
          <w:rFonts w:ascii="Calibri Light" w:hAnsi="Calibri Light" w:cs="Calibri Light"/>
          <w:color w:val="000000"/>
          <w:highlight w:val="yellow"/>
        </w:rPr>
        <w:t>trgovino s storitvami in javnimi naročili EU</w:t>
      </w:r>
      <w:r w:rsidR="00AC2C75" w:rsidRPr="001D666D">
        <w:rPr>
          <w:rFonts w:ascii="Calibri Light" w:hAnsi="Calibri Light" w:cs="Calibri Light"/>
          <w:color w:val="000000"/>
        </w:rPr>
        <w:t>; orodje za samoocenjevanje pravil o poreklu (ROSA) je bilo izboljšano.</w:t>
      </w:r>
    </w:p>
    <w:p w14:paraId="1575E7B8" w14:textId="0D4FE7F0" w:rsidR="00AA6092" w:rsidRPr="001D666D" w:rsidRDefault="00AA6092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1D666D">
        <w:rPr>
          <w:rFonts w:ascii="Calibri Light" w:hAnsi="Calibri Light" w:cs="Calibri Light"/>
          <w:color w:val="000000"/>
        </w:rPr>
        <w:t xml:space="preserve">Evropska komisija redno organizira izobraževanja o uporabi spletne platforme Access2Markets. Naslednje </w:t>
      </w:r>
      <w:r w:rsidRPr="001D666D">
        <w:rPr>
          <w:rFonts w:ascii="Calibri Light" w:hAnsi="Calibri Light" w:cs="Calibri Light"/>
          <w:b/>
          <w:color w:val="000000"/>
          <w:highlight w:val="yellow"/>
        </w:rPr>
        <w:t>brezplačno spletno izobraževanje bo potekalo 29.11.2022</w:t>
      </w:r>
      <w:r w:rsidRPr="001D666D">
        <w:rPr>
          <w:rFonts w:ascii="Calibri Light" w:hAnsi="Calibri Light" w:cs="Calibri Light"/>
          <w:color w:val="000000"/>
        </w:rPr>
        <w:t xml:space="preserve">. Vsi zainteresirani se lahko prijavijo na tej </w:t>
      </w:r>
      <w:hyperlink r:id="rId8" w:history="1">
        <w:r w:rsidRPr="001D666D">
          <w:rPr>
            <w:rStyle w:val="Hiperpovezava"/>
            <w:rFonts w:ascii="Calibri Light" w:hAnsi="Calibri Light" w:cs="Calibri Light"/>
          </w:rPr>
          <w:t>povezavi</w:t>
        </w:r>
      </w:hyperlink>
      <w:r w:rsidRPr="001D666D">
        <w:rPr>
          <w:rFonts w:ascii="Calibri Light" w:hAnsi="Calibri Light" w:cs="Calibri Light"/>
          <w:color w:val="000000"/>
        </w:rPr>
        <w:t xml:space="preserve">. </w:t>
      </w:r>
    </w:p>
    <w:p w14:paraId="4D818AA6" w14:textId="77777777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67473FA1" w14:textId="7DB0DF70" w:rsidR="000A4C40" w:rsidRPr="001D666D" w:rsidRDefault="00F4017A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  <w:r w:rsidRPr="001D666D">
        <w:rPr>
          <w:rFonts w:ascii="Calibri Light" w:hAnsi="Calibri Light" w:cs="Calibri Light"/>
          <w:color w:val="000000"/>
        </w:rPr>
        <w:t xml:space="preserve">Podjetja lahko tudi </w:t>
      </w:r>
      <w:r w:rsidR="00AA6092" w:rsidRPr="001D666D">
        <w:rPr>
          <w:rFonts w:ascii="Calibri Light" w:hAnsi="Calibri Light" w:cs="Calibri Light"/>
          <w:color w:val="000000"/>
        </w:rPr>
        <w:t xml:space="preserve">prijavijo </w:t>
      </w:r>
      <w:hyperlink r:id="rId9" w:history="1">
        <w:r w:rsidRPr="001D666D">
          <w:rPr>
            <w:rStyle w:val="Hiperpovezava"/>
            <w:rFonts w:ascii="Calibri Light" w:hAnsi="Calibri Light" w:cs="Calibri Light"/>
            <w:b/>
          </w:rPr>
          <w:t>trgovinsk</w:t>
        </w:r>
        <w:r w:rsidR="00AA6092" w:rsidRPr="001D666D">
          <w:rPr>
            <w:rStyle w:val="Hiperpovezava"/>
            <w:rFonts w:ascii="Calibri Light" w:hAnsi="Calibri Light" w:cs="Calibri Light"/>
            <w:b/>
          </w:rPr>
          <w:t xml:space="preserve">e </w:t>
        </w:r>
        <w:r w:rsidRPr="001D666D">
          <w:rPr>
            <w:rStyle w:val="Hiperpovezava"/>
            <w:rFonts w:ascii="Calibri Light" w:hAnsi="Calibri Light" w:cs="Calibri Light"/>
            <w:b/>
          </w:rPr>
          <w:t>ovir</w:t>
        </w:r>
        <w:r w:rsidR="00AA6092" w:rsidRPr="001D666D">
          <w:rPr>
            <w:rStyle w:val="Hiperpovezava"/>
            <w:rFonts w:ascii="Calibri Light" w:hAnsi="Calibri Light" w:cs="Calibri Light"/>
            <w:b/>
          </w:rPr>
          <w:t>e</w:t>
        </w:r>
      </w:hyperlink>
      <w:r w:rsidR="00DD4FFE" w:rsidRPr="001D666D">
        <w:rPr>
          <w:rStyle w:val="Hiperpovezava"/>
          <w:rFonts w:ascii="Calibri Light" w:hAnsi="Calibri Light" w:cs="Calibri Light"/>
          <w:b/>
        </w:rPr>
        <w:t>,</w:t>
      </w:r>
      <w:r w:rsidRPr="001D666D">
        <w:rPr>
          <w:rFonts w:ascii="Calibri Light" w:hAnsi="Calibri Light" w:cs="Calibri Light"/>
          <w:color w:val="000000"/>
        </w:rPr>
        <w:t xml:space="preserve"> s katerimi se soočajo na tretjih trgih</w:t>
      </w:r>
      <w:r w:rsidR="00DD4FFE" w:rsidRPr="001D666D">
        <w:rPr>
          <w:rFonts w:ascii="Calibri Light" w:hAnsi="Calibri Light" w:cs="Calibri Light"/>
          <w:color w:val="000000"/>
        </w:rPr>
        <w:t>,</w:t>
      </w:r>
      <w:r w:rsidRPr="001D666D">
        <w:rPr>
          <w:rFonts w:ascii="Calibri Light" w:hAnsi="Calibri Light" w:cs="Calibri Light"/>
          <w:color w:val="000000"/>
        </w:rPr>
        <w:t xml:space="preserve"> preko </w:t>
      </w:r>
      <w:hyperlink r:id="rId10" w:history="1">
        <w:r w:rsidR="00AC2C75" w:rsidRPr="001D666D">
          <w:rPr>
            <w:rStyle w:val="Hiperpovezava"/>
            <w:rFonts w:ascii="Calibri Light" w:hAnsi="Calibri Light" w:cs="Calibri Light"/>
            <w:b/>
          </w:rPr>
          <w:t>Enotn</w:t>
        </w:r>
        <w:r w:rsidRPr="001D666D">
          <w:rPr>
            <w:rStyle w:val="Hiperpovezava"/>
            <w:rFonts w:ascii="Calibri Light" w:hAnsi="Calibri Light" w:cs="Calibri Light"/>
            <w:b/>
          </w:rPr>
          <w:t>e vstopne</w:t>
        </w:r>
        <w:r w:rsidR="00AC2C75" w:rsidRPr="001D666D">
          <w:rPr>
            <w:rStyle w:val="Hiperpovezava"/>
            <w:rFonts w:ascii="Calibri Light" w:hAnsi="Calibri Light" w:cs="Calibri Light"/>
            <w:b/>
          </w:rPr>
          <w:t xml:space="preserve"> točk</w:t>
        </w:r>
        <w:r w:rsidRPr="001D666D">
          <w:rPr>
            <w:rStyle w:val="Hiperpovezava"/>
            <w:rFonts w:ascii="Calibri Light" w:hAnsi="Calibri Light" w:cs="Calibri Light"/>
            <w:b/>
          </w:rPr>
          <w:t>e</w:t>
        </w:r>
      </w:hyperlink>
      <w:r w:rsidR="00AC2C75" w:rsidRPr="001D666D">
        <w:rPr>
          <w:rFonts w:ascii="Calibri Light" w:hAnsi="Calibri Light" w:cs="Calibri Light"/>
          <w:color w:val="000000"/>
        </w:rPr>
        <w:t xml:space="preserve"> (</w:t>
      </w:r>
      <w:proofErr w:type="spellStart"/>
      <w:r w:rsidR="00AC2C75" w:rsidRPr="001D666D">
        <w:rPr>
          <w:rFonts w:ascii="Calibri Light" w:hAnsi="Calibri Light" w:cs="Calibri Light"/>
          <w:color w:val="000000"/>
        </w:rPr>
        <w:t>Single</w:t>
      </w:r>
      <w:proofErr w:type="spellEnd"/>
      <w:r w:rsidR="00AC2C75" w:rsidRPr="001D666D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AC2C75" w:rsidRPr="001D666D">
        <w:rPr>
          <w:rFonts w:ascii="Calibri Light" w:hAnsi="Calibri Light" w:cs="Calibri Light"/>
          <w:color w:val="000000"/>
        </w:rPr>
        <w:t>entry</w:t>
      </w:r>
      <w:proofErr w:type="spellEnd"/>
      <w:r w:rsidR="00AC2C75" w:rsidRPr="001D666D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AC2C75" w:rsidRPr="001D666D">
        <w:rPr>
          <w:rFonts w:ascii="Calibri Light" w:hAnsi="Calibri Light" w:cs="Calibri Light"/>
          <w:color w:val="000000"/>
        </w:rPr>
        <w:t>point</w:t>
      </w:r>
      <w:proofErr w:type="spellEnd"/>
      <w:r w:rsidR="00AA6092" w:rsidRPr="001D666D">
        <w:rPr>
          <w:rFonts w:ascii="Calibri Light" w:hAnsi="Calibri Light" w:cs="Calibri Light"/>
          <w:color w:val="000000"/>
        </w:rPr>
        <w:t xml:space="preserve">) v okviru Evropske komisije. </w:t>
      </w:r>
      <w:r w:rsidR="00AC2C75" w:rsidRPr="001D666D">
        <w:rPr>
          <w:rFonts w:ascii="Calibri Light" w:hAnsi="Calibri Light" w:cs="Calibri Light"/>
          <w:color w:val="000000"/>
        </w:rPr>
        <w:t xml:space="preserve">Deležniki EU so se v letu 2021 in prvih štirih mesecih leta 2022  obrnili več </w:t>
      </w:r>
      <w:r w:rsidR="00AC2C75" w:rsidRPr="001D666D">
        <w:rPr>
          <w:rFonts w:ascii="Calibri Light" w:hAnsi="Calibri Light" w:cs="Calibri Light"/>
          <w:b/>
          <w:color w:val="000000"/>
        </w:rPr>
        <w:t xml:space="preserve">kot 60-krat </w:t>
      </w:r>
      <w:r w:rsidR="00AC2C75" w:rsidRPr="001D666D">
        <w:rPr>
          <w:rFonts w:ascii="Calibri Light" w:hAnsi="Calibri Light" w:cs="Calibri Light"/>
          <w:color w:val="000000"/>
        </w:rPr>
        <w:t xml:space="preserve">na Enotno vstopno točko, vloženih pa je bilo </w:t>
      </w:r>
      <w:r w:rsidR="00AC2C75" w:rsidRPr="001D666D">
        <w:rPr>
          <w:rFonts w:ascii="Calibri Light" w:hAnsi="Calibri Light" w:cs="Calibri Light"/>
          <w:b/>
          <w:color w:val="000000"/>
        </w:rPr>
        <w:t>46 pritožb</w:t>
      </w:r>
      <w:r w:rsidR="00AC2C75" w:rsidRPr="001D666D">
        <w:rPr>
          <w:rFonts w:ascii="Calibri Light" w:hAnsi="Calibri Light" w:cs="Calibri Light"/>
          <w:color w:val="000000"/>
        </w:rPr>
        <w:t xml:space="preserve">, povezanih z vprašanji dostopa do trga.  </w:t>
      </w:r>
    </w:p>
    <w:p w14:paraId="0578C36D" w14:textId="77777777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3360EFC3" w14:textId="04EDEA44" w:rsidR="00AA6092" w:rsidRPr="001D666D" w:rsidRDefault="00AA6092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b/>
        </w:rPr>
      </w:pPr>
      <w:r w:rsidRPr="001D666D">
        <w:rPr>
          <w:rFonts w:ascii="Calibri Light" w:hAnsi="Calibri Light" w:cs="Calibri Light"/>
          <w:b/>
        </w:rPr>
        <w:t xml:space="preserve">Več informacij: </w:t>
      </w:r>
    </w:p>
    <w:p w14:paraId="3640F8FD" w14:textId="77777777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b/>
        </w:rPr>
      </w:pPr>
    </w:p>
    <w:p w14:paraId="28DAD160" w14:textId="72A6CD1B" w:rsidR="00AA6092" w:rsidRPr="001D666D" w:rsidRDefault="00000000" w:rsidP="001D666D">
      <w:pPr>
        <w:pStyle w:val="Navadensplet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libri Light" w:hAnsi="Calibri Light" w:cs="Calibri Light"/>
          <w:color w:val="000000"/>
        </w:rPr>
      </w:pPr>
      <w:hyperlink r:id="rId11" w:history="1">
        <w:r w:rsidR="00AA6092" w:rsidRPr="001D666D">
          <w:rPr>
            <w:rStyle w:val="Hiperpovezava"/>
            <w:rFonts w:ascii="Calibri Light" w:hAnsi="Calibri Light" w:cs="Calibri Light"/>
          </w:rPr>
          <w:t>Poročilo o izvajanju in izvrševanju trgovinskih sporazumov EU v slovenskem jeziku</w:t>
        </w:r>
      </w:hyperlink>
    </w:p>
    <w:p w14:paraId="6D9F18ED" w14:textId="47C2269E" w:rsidR="00AA6092" w:rsidRPr="001D666D" w:rsidRDefault="00000000" w:rsidP="001D666D">
      <w:pPr>
        <w:pStyle w:val="Navadensplet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libri Light" w:hAnsi="Calibri Light" w:cs="Calibri Light"/>
          <w:color w:val="000000"/>
        </w:rPr>
      </w:pPr>
      <w:hyperlink r:id="rId12" w:history="1">
        <w:r w:rsidR="00AA6092" w:rsidRPr="001D666D">
          <w:rPr>
            <w:rStyle w:val="Hiperpovezava"/>
            <w:rFonts w:ascii="Calibri Light" w:hAnsi="Calibri Light" w:cs="Calibri Light"/>
          </w:rPr>
          <w:t xml:space="preserve">Povezava do več informacij </w:t>
        </w:r>
        <w:r w:rsidR="00FA32AA" w:rsidRPr="001D666D">
          <w:rPr>
            <w:rStyle w:val="Hiperpovezava"/>
            <w:rFonts w:ascii="Calibri Light" w:hAnsi="Calibri Light" w:cs="Calibri Light"/>
          </w:rPr>
          <w:t xml:space="preserve">in dokumentov glede poročila </w:t>
        </w:r>
        <w:r w:rsidR="00AA6092" w:rsidRPr="001D666D">
          <w:rPr>
            <w:rStyle w:val="Hiperpovezava"/>
            <w:rFonts w:ascii="Calibri Light" w:hAnsi="Calibri Light" w:cs="Calibri Light"/>
          </w:rPr>
          <w:t xml:space="preserve">na </w:t>
        </w:r>
        <w:r w:rsidR="00FA32AA" w:rsidRPr="001D666D">
          <w:rPr>
            <w:rStyle w:val="Hiperpovezava"/>
            <w:rFonts w:ascii="Calibri Light" w:hAnsi="Calibri Light" w:cs="Calibri Light"/>
          </w:rPr>
          <w:t xml:space="preserve">spletni </w:t>
        </w:r>
        <w:r w:rsidR="00AA6092" w:rsidRPr="001D666D">
          <w:rPr>
            <w:rStyle w:val="Hiperpovezava"/>
            <w:rFonts w:ascii="Calibri Light" w:hAnsi="Calibri Light" w:cs="Calibri Light"/>
          </w:rPr>
          <w:t>strani Evropske komisije</w:t>
        </w:r>
      </w:hyperlink>
      <w:r w:rsidR="00AA6092" w:rsidRPr="001D666D">
        <w:rPr>
          <w:rFonts w:ascii="Calibri Light" w:hAnsi="Calibri Light" w:cs="Calibri Light"/>
          <w:color w:val="000000"/>
        </w:rPr>
        <w:t xml:space="preserve"> </w:t>
      </w:r>
      <w:r w:rsidR="009D6C4B" w:rsidRPr="001D666D">
        <w:rPr>
          <w:rFonts w:ascii="Calibri Light" w:hAnsi="Calibri Light" w:cs="Calibri Light"/>
          <w:color w:val="000000"/>
        </w:rPr>
        <w:t xml:space="preserve">(vključno z </w:t>
      </w:r>
      <w:hyperlink r:id="rId13" w:history="1">
        <w:proofErr w:type="spellStart"/>
        <w:r w:rsidR="009D6C4B" w:rsidRPr="001D666D">
          <w:rPr>
            <w:rStyle w:val="Hiperpovezava"/>
            <w:rFonts w:ascii="Calibri Light" w:hAnsi="Calibri Light" w:cs="Calibri Light"/>
          </w:rPr>
          <w:t>infografiko</w:t>
        </w:r>
        <w:proofErr w:type="spellEnd"/>
      </w:hyperlink>
      <w:r w:rsidR="00176F9E" w:rsidRPr="001D666D">
        <w:rPr>
          <w:rFonts w:ascii="Calibri Light" w:hAnsi="Calibri Light" w:cs="Calibri Light"/>
          <w:color w:val="000000"/>
        </w:rPr>
        <w:t xml:space="preserve">, </w:t>
      </w:r>
      <w:hyperlink r:id="rId14" w:history="1">
        <w:r w:rsidR="009D6C4B" w:rsidRPr="001D666D">
          <w:rPr>
            <w:rStyle w:val="Hiperpovezava"/>
            <w:rFonts w:ascii="Calibri Light" w:hAnsi="Calibri Light" w:cs="Calibri Light"/>
          </w:rPr>
          <w:t>informativn</w:t>
        </w:r>
        <w:r w:rsidR="009D6C4B" w:rsidRPr="001D666D">
          <w:rPr>
            <w:rStyle w:val="Hiperpovezava"/>
            <w:rFonts w:ascii="Calibri Light" w:hAnsi="Calibri Light" w:cs="Calibri Light"/>
          </w:rPr>
          <w:t>i</w:t>
        </w:r>
        <w:r w:rsidR="009D6C4B" w:rsidRPr="001D666D">
          <w:rPr>
            <w:rStyle w:val="Hiperpovezava"/>
            <w:rFonts w:ascii="Calibri Light" w:hAnsi="Calibri Light" w:cs="Calibri Light"/>
          </w:rPr>
          <w:t>m pregledom</w:t>
        </w:r>
      </w:hyperlink>
      <w:r w:rsidR="00176F9E" w:rsidRPr="001D666D">
        <w:rPr>
          <w:rFonts w:ascii="Calibri Light" w:hAnsi="Calibri Light" w:cs="Calibri Light"/>
          <w:color w:val="000000"/>
        </w:rPr>
        <w:t xml:space="preserve"> in </w:t>
      </w:r>
      <w:hyperlink r:id="rId15" w:history="1">
        <w:r w:rsidR="00176F9E" w:rsidRPr="001D666D">
          <w:rPr>
            <w:rStyle w:val="Hiperpovezava"/>
            <w:rFonts w:ascii="Calibri Light" w:hAnsi="Calibri Light" w:cs="Calibri Light"/>
          </w:rPr>
          <w:t>brošuro</w:t>
        </w:r>
      </w:hyperlink>
      <w:r w:rsidR="009D6C4B" w:rsidRPr="001D666D">
        <w:rPr>
          <w:rFonts w:ascii="Calibri Light" w:hAnsi="Calibri Light" w:cs="Calibri Light"/>
          <w:color w:val="000000"/>
        </w:rPr>
        <w:t xml:space="preserve"> (v angleškem jeziku) </w:t>
      </w:r>
    </w:p>
    <w:p w14:paraId="7E504AD2" w14:textId="695348CE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3B1D040B" w14:textId="6330E17A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p w14:paraId="6546EA19" w14:textId="77777777" w:rsidR="001D666D" w:rsidRPr="001D666D" w:rsidRDefault="001D666D" w:rsidP="001D666D">
      <w:pPr>
        <w:pStyle w:val="Navadensplet"/>
        <w:spacing w:before="0" w:beforeAutospacing="0" w:after="0" w:afterAutospacing="0"/>
        <w:jc w:val="both"/>
        <w:rPr>
          <w:rFonts w:ascii="Calibri Light" w:hAnsi="Calibri Light" w:cs="Calibri Light"/>
          <w:color w:val="000000"/>
        </w:rPr>
      </w:pPr>
    </w:p>
    <w:sectPr w:rsidR="001D666D" w:rsidRPr="001D666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678E" w14:textId="77777777" w:rsidR="001354CD" w:rsidRDefault="001354CD" w:rsidP="001D666D">
      <w:pPr>
        <w:spacing w:after="0" w:line="240" w:lineRule="auto"/>
      </w:pPr>
      <w:r>
        <w:separator/>
      </w:r>
    </w:p>
  </w:endnote>
  <w:endnote w:type="continuationSeparator" w:id="0">
    <w:p w14:paraId="32319A8D" w14:textId="77777777" w:rsidR="001354CD" w:rsidRDefault="001354CD" w:rsidP="001D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8D32" w14:textId="60E63EFC" w:rsidR="001D666D" w:rsidRPr="001D666D" w:rsidRDefault="001D666D" w:rsidP="001D666D">
    <w:pPr>
      <w:pStyle w:val="Noga"/>
      <w:jc w:val="right"/>
      <w:rPr>
        <w:i/>
        <w:iCs/>
      </w:rPr>
    </w:pPr>
    <w:r w:rsidRPr="001D666D">
      <w:rPr>
        <w:i/>
        <w:iCs/>
      </w:rPr>
      <w:t>14.10.2022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137E" w14:textId="77777777" w:rsidR="001354CD" w:rsidRDefault="001354CD" w:rsidP="001D666D">
      <w:pPr>
        <w:spacing w:after="0" w:line="240" w:lineRule="auto"/>
      </w:pPr>
      <w:r>
        <w:separator/>
      </w:r>
    </w:p>
  </w:footnote>
  <w:footnote w:type="continuationSeparator" w:id="0">
    <w:p w14:paraId="4050D8C5" w14:textId="77777777" w:rsidR="001354CD" w:rsidRDefault="001354CD" w:rsidP="001D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548D6"/>
    <w:multiLevelType w:val="hybridMultilevel"/>
    <w:tmpl w:val="30FED774"/>
    <w:lvl w:ilvl="0" w:tplc="8118FD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E3AE3"/>
    <w:multiLevelType w:val="hybridMultilevel"/>
    <w:tmpl w:val="AD06717A"/>
    <w:lvl w:ilvl="0" w:tplc="2084B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53630">
    <w:abstractNumId w:val="0"/>
  </w:num>
  <w:num w:numId="2" w16cid:durableId="52844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75"/>
    <w:rsid w:val="000A4C40"/>
    <w:rsid w:val="001354CD"/>
    <w:rsid w:val="00176F9E"/>
    <w:rsid w:val="001D666D"/>
    <w:rsid w:val="002945B6"/>
    <w:rsid w:val="005559A8"/>
    <w:rsid w:val="00694B46"/>
    <w:rsid w:val="00891538"/>
    <w:rsid w:val="008E0716"/>
    <w:rsid w:val="009D6C4B"/>
    <w:rsid w:val="00AA6092"/>
    <w:rsid w:val="00AC2C75"/>
    <w:rsid w:val="00D65508"/>
    <w:rsid w:val="00DD4FFE"/>
    <w:rsid w:val="00F4017A"/>
    <w:rsid w:val="00F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5742"/>
  <w15:chartTrackingRefBased/>
  <w15:docId w15:val="{5EB6936E-870A-493C-A097-F2B6C26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2C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C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C2C75"/>
    <w:rPr>
      <w:b/>
      <w:bCs/>
    </w:rPr>
  </w:style>
  <w:style w:type="character" w:styleId="Poudarek">
    <w:name w:val="Emphasis"/>
    <w:basedOn w:val="Privzetapisavaodstavka"/>
    <w:uiPriority w:val="20"/>
    <w:qFormat/>
    <w:rsid w:val="00AC2C75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AA609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A6092"/>
    <w:rPr>
      <w:color w:val="954F72" w:themeColor="followedHyperlink"/>
      <w:u w:val="single"/>
    </w:rPr>
  </w:style>
  <w:style w:type="paragraph" w:customStyle="1" w:styleId="Default">
    <w:name w:val="Default"/>
    <w:rsid w:val="00AA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DD4FF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4FF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4FF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4FF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4FF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FF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D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666D"/>
  </w:style>
  <w:style w:type="paragraph" w:styleId="Noga">
    <w:name w:val="footer"/>
    <w:basedOn w:val="Navaden"/>
    <w:link w:val="NogaZnak"/>
    <w:uiPriority w:val="99"/>
    <w:unhideWhenUsed/>
    <w:rsid w:val="001D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.ec.europa.eu/access-to-markets/en/content/events-access2markets" TargetMode="External"/><Relationship Id="rId13" Type="http://schemas.openxmlformats.org/officeDocument/2006/relationships/hyperlink" Target="https://circabc.europa.eu/ui/group/7fc51410-46a1-4871-8979-20cce8df0896/library/46c42158-a338-4995-97c9-a5b6a246a5a3/details?download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trade.ec.europa.eu/access-to-markets/sl/home" TargetMode="External"/><Relationship Id="rId12" Type="http://schemas.openxmlformats.org/officeDocument/2006/relationships/hyperlink" Target="https://ec.europa.eu/commission/presscorner/detail/sl/ip_22_60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transparency/documents-register/detail?ref=COM(2022)730&amp;lang=s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ircabc.europa.eu/ui/group/7fc51410-46a1-4871-8979-20cce8df0896/library/5834407c-46b0-482f-a11d-6232924a5fb0/details?download=true" TargetMode="External"/><Relationship Id="rId10" Type="http://schemas.openxmlformats.org/officeDocument/2006/relationships/hyperlink" Target="https://trade.ec.europa.eu/access-to-markets/en/contact-form?type=COMPL_MA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izvoznookno.si/mednarodno-trgovanje/trgovinske-ovire-na-trgih-zunaj-eu/" TargetMode="External"/><Relationship Id="rId14" Type="http://schemas.openxmlformats.org/officeDocument/2006/relationships/hyperlink" Target="https://circabc.europa.eu/ui/group/7fc51410-46a1-4871-8979-20cce8df0896/library/e52253dd-3aa9-49ca-94a0-85467d8c896e/details?download=tru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C7191DE3FB64B9F28B68F5EBEDCA5" ma:contentTypeVersion="13" ma:contentTypeDescription="Ustvari nov dokument." ma:contentTypeScope="" ma:versionID="b4db79410f1a36c0cbd3ac2cf1287d48">
  <xsd:schema xmlns:xsd="http://www.w3.org/2001/XMLSchema" xmlns:xs="http://www.w3.org/2001/XMLSchema" xmlns:p="http://schemas.microsoft.com/office/2006/metadata/properties" xmlns:ns2="a3265a84-5b2e-4070-b612-41ae73d34bbc" xmlns:ns3="703cdf61-9bdb-4ab1-bf99-aabb6c694d24" targetNamespace="http://schemas.microsoft.com/office/2006/metadata/properties" ma:root="true" ma:fieldsID="c6ccd0729194227870ec751e27f63d35" ns2:_="" ns3:_="">
    <xsd:import namespace="a3265a84-5b2e-4070-b612-41ae73d34bbc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65a84-5b2e-4070-b612-41ae73d3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265a84-5b2e-4070-b612-41ae73d34bbc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Props1.xml><?xml version="1.0" encoding="utf-8"?>
<ds:datastoreItem xmlns:ds="http://schemas.openxmlformats.org/officeDocument/2006/customXml" ds:itemID="{04A04B6B-8F3C-44C3-9FC8-98602BFFD391}"/>
</file>

<file path=customXml/itemProps2.xml><?xml version="1.0" encoding="utf-8"?>
<ds:datastoreItem xmlns:ds="http://schemas.openxmlformats.org/officeDocument/2006/customXml" ds:itemID="{A2B9BA74-85C7-4773-9DF2-E716033975D8}"/>
</file>

<file path=customXml/itemProps3.xml><?xml version="1.0" encoding="utf-8"?>
<ds:datastoreItem xmlns:ds="http://schemas.openxmlformats.org/officeDocument/2006/customXml" ds:itemID="{6A6B116D-F857-48B7-B8BE-BD1761408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Košutnik</dc:creator>
  <cp:keywords/>
  <dc:description/>
  <cp:lastModifiedBy>Matej Rogelj</cp:lastModifiedBy>
  <cp:revision>2</cp:revision>
  <dcterms:created xsi:type="dcterms:W3CDTF">2022-10-14T13:50:00Z</dcterms:created>
  <dcterms:modified xsi:type="dcterms:W3CDTF">2022-10-14T13:50:00Z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0x010100963C7191DE3FB64B9F28B68F5EBEDCA5</vt:lpwstr>
  </property>
</Properties>
</file>